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AF80" w14:textId="77777777" w:rsidR="00816B87" w:rsidRDefault="00B1529E" w:rsidP="00816B87">
      <w:pPr>
        <w:jc w:val="center"/>
        <w:rPr>
          <w:b/>
          <w:bCs/>
        </w:rPr>
      </w:pPr>
      <w:bookmarkStart w:id="0" w:name="_Hlk37843346"/>
      <w:r>
        <w:rPr>
          <w:b/>
          <w:bCs/>
        </w:rPr>
        <w:t xml:space="preserve">Bureau of Services for Blind Persons </w:t>
      </w:r>
    </w:p>
    <w:p w14:paraId="4D49F905" w14:textId="033455D2" w:rsidR="00E76ECF" w:rsidRDefault="00541248" w:rsidP="00816B87">
      <w:pPr>
        <w:jc w:val="center"/>
        <w:rPr>
          <w:b/>
          <w:bCs/>
        </w:rPr>
      </w:pPr>
      <w:r>
        <w:rPr>
          <w:b/>
          <w:bCs/>
        </w:rPr>
        <w:t xml:space="preserve">SILC </w:t>
      </w:r>
      <w:r w:rsidR="00B1529E">
        <w:rPr>
          <w:b/>
          <w:bCs/>
        </w:rPr>
        <w:t>Report</w:t>
      </w:r>
      <w:r w:rsidR="00C0410C">
        <w:rPr>
          <w:b/>
          <w:bCs/>
        </w:rPr>
        <w:t xml:space="preserve"> </w:t>
      </w:r>
      <w:r w:rsidR="00816B87">
        <w:rPr>
          <w:b/>
          <w:bCs/>
        </w:rPr>
        <w:t xml:space="preserve"> for </w:t>
      </w:r>
      <w:r w:rsidR="00C0410C">
        <w:rPr>
          <w:b/>
          <w:bCs/>
        </w:rPr>
        <w:t>September 8, 2023</w:t>
      </w:r>
    </w:p>
    <w:p w14:paraId="085586C9" w14:textId="6B6EED75" w:rsidR="00816B87" w:rsidRDefault="00816B87" w:rsidP="005447AF">
      <w:pPr>
        <w:jc w:val="center"/>
        <w:rPr>
          <w:b/>
          <w:bCs/>
        </w:rPr>
      </w:pPr>
      <w:r>
        <w:rPr>
          <w:b/>
          <w:bCs/>
        </w:rPr>
        <w:t>Lisa Kisiel</w:t>
      </w:r>
      <w:r w:rsidR="005447AF">
        <w:rPr>
          <w:b/>
          <w:bCs/>
        </w:rPr>
        <w:t>,</w:t>
      </w:r>
      <w:r w:rsidR="00D42063">
        <w:rPr>
          <w:b/>
          <w:bCs/>
        </w:rPr>
        <w:t xml:space="preserve"> Field Services</w:t>
      </w:r>
      <w:r w:rsidR="005447AF">
        <w:rPr>
          <w:b/>
          <w:bCs/>
        </w:rPr>
        <w:t xml:space="preserve"> </w:t>
      </w:r>
      <w:r w:rsidR="002472C6">
        <w:rPr>
          <w:b/>
          <w:bCs/>
        </w:rPr>
        <w:t>Division Director</w:t>
      </w:r>
    </w:p>
    <w:bookmarkEnd w:id="0"/>
    <w:p w14:paraId="58D17EFF" w14:textId="77777777" w:rsidR="00CB5799" w:rsidRDefault="00CB5799" w:rsidP="00FB4EFA">
      <w:pPr>
        <w:rPr>
          <w:b/>
          <w:bCs/>
        </w:rPr>
      </w:pPr>
    </w:p>
    <w:p w14:paraId="7B3B2E2B" w14:textId="77777777" w:rsidR="0091055D" w:rsidRDefault="00FB4EFA" w:rsidP="00FB4EFA">
      <w:r>
        <w:t>IL Part B customers served</w:t>
      </w:r>
      <w:r w:rsidR="00860D21">
        <w:t xml:space="preserve"> by BSBP</w:t>
      </w:r>
      <w:r>
        <w:t xml:space="preserve"> fiscal year</w:t>
      </w:r>
      <w:r w:rsidR="00A75392">
        <w:t xml:space="preserve"> 2023 year</w:t>
      </w:r>
      <w:r>
        <w:t xml:space="preserve"> to date</w:t>
      </w:r>
      <w:r w:rsidR="00A830CC">
        <w:t xml:space="preserve"> </w:t>
      </w:r>
      <w:r>
        <w:t>are 240.</w:t>
      </w:r>
      <w:r w:rsidR="00CC24B4">
        <w:t xml:space="preserve">   </w:t>
      </w:r>
    </w:p>
    <w:p w14:paraId="1A162851" w14:textId="77777777" w:rsidR="0091055D" w:rsidRDefault="0091055D" w:rsidP="00FB4EFA"/>
    <w:p w14:paraId="56359E2E" w14:textId="4EAC5875" w:rsidR="00FB4EFA" w:rsidRDefault="0091055D" w:rsidP="00FB4EFA">
      <w:r>
        <w:t>Some e</w:t>
      </w:r>
      <w:r w:rsidR="00CC24B4">
        <w:t>xamples</w:t>
      </w:r>
      <w:r w:rsidR="003E63CC">
        <w:t xml:space="preserve"> of services </w:t>
      </w:r>
      <w:r w:rsidR="00CC24B4">
        <w:t>provided are:</w:t>
      </w:r>
    </w:p>
    <w:tbl>
      <w:tblPr>
        <w:tblW w:w="9450" w:type="dxa"/>
        <w:tblCellMar>
          <w:left w:w="0" w:type="dxa"/>
          <w:right w:w="0" w:type="dxa"/>
        </w:tblCellMar>
        <w:tblLook w:val="04A0" w:firstRow="1" w:lastRow="0" w:firstColumn="1" w:lastColumn="0" w:noHBand="0" w:noVBand="1"/>
      </w:tblPr>
      <w:tblGrid>
        <w:gridCol w:w="9450"/>
      </w:tblGrid>
      <w:tr w:rsidR="00F7362C" w14:paraId="7976B1EE" w14:textId="77777777" w:rsidTr="007A0390">
        <w:trPr>
          <w:trHeight w:val="288"/>
        </w:trPr>
        <w:tc>
          <w:tcPr>
            <w:tcW w:w="9450" w:type="dxa"/>
            <w:noWrap/>
            <w:tcMar>
              <w:top w:w="0" w:type="dxa"/>
              <w:left w:w="108" w:type="dxa"/>
              <w:bottom w:w="0" w:type="dxa"/>
              <w:right w:w="108" w:type="dxa"/>
            </w:tcMar>
            <w:vAlign w:val="bottom"/>
            <w:hideMark/>
          </w:tcPr>
          <w:p w14:paraId="24705A56" w14:textId="77777777" w:rsidR="00F7362C" w:rsidRDefault="00F7362C">
            <w:pPr>
              <w:rPr>
                <w:color w:val="000000"/>
              </w:rPr>
            </w:pPr>
            <w:r>
              <w:rPr>
                <w:color w:val="000000"/>
              </w:rPr>
              <w:t>Adaptive Equipment (Rehabilitation Technology)</w:t>
            </w:r>
          </w:p>
        </w:tc>
      </w:tr>
      <w:tr w:rsidR="00F7362C" w14:paraId="239A8ED1" w14:textId="77777777" w:rsidTr="007A0390">
        <w:trPr>
          <w:trHeight w:val="288"/>
        </w:trPr>
        <w:tc>
          <w:tcPr>
            <w:tcW w:w="9450" w:type="dxa"/>
            <w:noWrap/>
            <w:tcMar>
              <w:top w:w="0" w:type="dxa"/>
              <w:left w:w="108" w:type="dxa"/>
              <w:bottom w:w="0" w:type="dxa"/>
              <w:right w:w="108" w:type="dxa"/>
            </w:tcMar>
            <w:vAlign w:val="bottom"/>
            <w:hideMark/>
          </w:tcPr>
          <w:p w14:paraId="5994DDD0" w14:textId="77777777" w:rsidR="00F7362C" w:rsidRDefault="00F7362C">
            <w:pPr>
              <w:rPr>
                <w:color w:val="000000"/>
              </w:rPr>
            </w:pPr>
            <w:r>
              <w:rPr>
                <w:color w:val="000000"/>
              </w:rPr>
              <w:t>Assessment: Adaptive Technology</w:t>
            </w:r>
          </w:p>
        </w:tc>
      </w:tr>
      <w:tr w:rsidR="00F7362C" w14:paraId="66B99FEE" w14:textId="77777777" w:rsidTr="007A0390">
        <w:trPr>
          <w:trHeight w:val="288"/>
        </w:trPr>
        <w:tc>
          <w:tcPr>
            <w:tcW w:w="9450" w:type="dxa"/>
            <w:noWrap/>
            <w:tcMar>
              <w:top w:w="0" w:type="dxa"/>
              <w:left w:w="108" w:type="dxa"/>
              <w:bottom w:w="0" w:type="dxa"/>
              <w:right w:w="108" w:type="dxa"/>
            </w:tcMar>
            <w:vAlign w:val="bottom"/>
            <w:hideMark/>
          </w:tcPr>
          <w:p w14:paraId="49C0E85F" w14:textId="77777777" w:rsidR="00F7362C" w:rsidRDefault="00F7362C">
            <w:pPr>
              <w:rPr>
                <w:color w:val="000000"/>
              </w:rPr>
            </w:pPr>
            <w:r>
              <w:rPr>
                <w:color w:val="000000"/>
              </w:rPr>
              <w:t>Computer or Adaptive Technology Training (Rehabilitation Technology)</w:t>
            </w:r>
          </w:p>
        </w:tc>
      </w:tr>
      <w:tr w:rsidR="00F7362C" w14:paraId="48EB78A0" w14:textId="77777777" w:rsidTr="007A0390">
        <w:trPr>
          <w:trHeight w:val="288"/>
        </w:trPr>
        <w:tc>
          <w:tcPr>
            <w:tcW w:w="9450" w:type="dxa"/>
            <w:noWrap/>
            <w:tcMar>
              <w:top w:w="0" w:type="dxa"/>
              <w:left w:w="108" w:type="dxa"/>
              <w:bottom w:w="0" w:type="dxa"/>
              <w:right w:w="108" w:type="dxa"/>
            </w:tcMar>
            <w:vAlign w:val="bottom"/>
            <w:hideMark/>
          </w:tcPr>
          <w:p w14:paraId="7A396E42" w14:textId="77777777" w:rsidR="00F7362C" w:rsidRDefault="00F7362C">
            <w:pPr>
              <w:rPr>
                <w:color w:val="000000"/>
              </w:rPr>
            </w:pPr>
            <w:r>
              <w:rPr>
                <w:color w:val="000000"/>
              </w:rPr>
              <w:t>Counseling and Guidance</w:t>
            </w:r>
          </w:p>
        </w:tc>
      </w:tr>
      <w:tr w:rsidR="00F7362C" w14:paraId="2E660B0C" w14:textId="77777777" w:rsidTr="007A0390">
        <w:trPr>
          <w:trHeight w:val="288"/>
        </w:trPr>
        <w:tc>
          <w:tcPr>
            <w:tcW w:w="9450" w:type="dxa"/>
            <w:noWrap/>
            <w:tcMar>
              <w:top w:w="0" w:type="dxa"/>
              <w:left w:w="108" w:type="dxa"/>
              <w:bottom w:w="0" w:type="dxa"/>
              <w:right w:w="108" w:type="dxa"/>
            </w:tcMar>
            <w:vAlign w:val="bottom"/>
            <w:hideMark/>
          </w:tcPr>
          <w:p w14:paraId="0C7F714A" w14:textId="77777777" w:rsidR="00F7362C" w:rsidRDefault="00F7362C">
            <w:pPr>
              <w:rPr>
                <w:color w:val="000000"/>
              </w:rPr>
            </w:pPr>
            <w:r>
              <w:rPr>
                <w:color w:val="000000"/>
              </w:rPr>
              <w:t>Interpreter Service</w:t>
            </w:r>
          </w:p>
        </w:tc>
      </w:tr>
      <w:tr w:rsidR="00F7362C" w14:paraId="2FDADB08" w14:textId="77777777" w:rsidTr="007A0390">
        <w:trPr>
          <w:trHeight w:val="288"/>
        </w:trPr>
        <w:tc>
          <w:tcPr>
            <w:tcW w:w="9450" w:type="dxa"/>
            <w:noWrap/>
            <w:tcMar>
              <w:top w:w="0" w:type="dxa"/>
              <w:left w:w="108" w:type="dxa"/>
              <w:bottom w:w="0" w:type="dxa"/>
              <w:right w:w="108" w:type="dxa"/>
            </w:tcMar>
            <w:vAlign w:val="bottom"/>
            <w:hideMark/>
          </w:tcPr>
          <w:p w14:paraId="1BC28DD3" w14:textId="77777777" w:rsidR="00F7362C" w:rsidRDefault="00F7362C">
            <w:pPr>
              <w:rPr>
                <w:color w:val="000000"/>
              </w:rPr>
            </w:pPr>
            <w:r>
              <w:rPr>
                <w:color w:val="000000"/>
              </w:rPr>
              <w:t>Lenses and Frames</w:t>
            </w:r>
          </w:p>
        </w:tc>
      </w:tr>
      <w:tr w:rsidR="00F7362C" w14:paraId="00E8CE7D" w14:textId="77777777" w:rsidTr="007A0390">
        <w:trPr>
          <w:trHeight w:val="288"/>
        </w:trPr>
        <w:tc>
          <w:tcPr>
            <w:tcW w:w="9450" w:type="dxa"/>
            <w:noWrap/>
            <w:tcMar>
              <w:top w:w="0" w:type="dxa"/>
              <w:left w:w="108" w:type="dxa"/>
              <w:bottom w:w="0" w:type="dxa"/>
              <w:right w:w="108" w:type="dxa"/>
            </w:tcMar>
            <w:vAlign w:val="bottom"/>
            <w:hideMark/>
          </w:tcPr>
          <w:p w14:paraId="7A118E54" w14:textId="77777777" w:rsidR="00F7362C" w:rsidRDefault="00F7362C">
            <w:pPr>
              <w:rPr>
                <w:color w:val="000000"/>
              </w:rPr>
            </w:pPr>
            <w:r>
              <w:rPr>
                <w:color w:val="000000"/>
              </w:rPr>
              <w:t>Low Vision Devices (Rehabilitation Technology)</w:t>
            </w:r>
          </w:p>
        </w:tc>
      </w:tr>
      <w:tr w:rsidR="00F7362C" w14:paraId="0CA6FC65" w14:textId="77777777" w:rsidTr="007A0390">
        <w:trPr>
          <w:trHeight w:val="288"/>
        </w:trPr>
        <w:tc>
          <w:tcPr>
            <w:tcW w:w="9450" w:type="dxa"/>
            <w:noWrap/>
            <w:tcMar>
              <w:top w:w="0" w:type="dxa"/>
              <w:left w:w="108" w:type="dxa"/>
              <w:bottom w:w="0" w:type="dxa"/>
              <w:right w:w="108" w:type="dxa"/>
            </w:tcMar>
            <w:vAlign w:val="bottom"/>
            <w:hideMark/>
          </w:tcPr>
          <w:p w14:paraId="7E4649E7" w14:textId="77777777" w:rsidR="00F7362C" w:rsidRDefault="00F7362C">
            <w:pPr>
              <w:rPr>
                <w:color w:val="000000"/>
              </w:rPr>
            </w:pPr>
            <w:r>
              <w:rPr>
                <w:color w:val="000000"/>
              </w:rPr>
              <w:t>Orientation &amp; Mobility (Disability-Related Skills Training)</w:t>
            </w:r>
          </w:p>
        </w:tc>
      </w:tr>
      <w:tr w:rsidR="00F7362C" w14:paraId="08AAD549" w14:textId="77777777" w:rsidTr="007A0390">
        <w:trPr>
          <w:trHeight w:val="288"/>
        </w:trPr>
        <w:tc>
          <w:tcPr>
            <w:tcW w:w="9450" w:type="dxa"/>
            <w:noWrap/>
            <w:tcMar>
              <w:top w:w="0" w:type="dxa"/>
              <w:left w:w="108" w:type="dxa"/>
              <w:bottom w:w="0" w:type="dxa"/>
              <w:right w:w="108" w:type="dxa"/>
            </w:tcMar>
            <w:vAlign w:val="bottom"/>
            <w:hideMark/>
          </w:tcPr>
          <w:p w14:paraId="75817E64" w14:textId="77777777" w:rsidR="00F7362C" w:rsidRDefault="00F7362C">
            <w:pPr>
              <w:rPr>
                <w:color w:val="000000"/>
              </w:rPr>
            </w:pPr>
            <w:r>
              <w:rPr>
                <w:color w:val="000000"/>
              </w:rPr>
              <w:t>Transportation</w:t>
            </w:r>
          </w:p>
          <w:p w14:paraId="15FAD953" w14:textId="392EDD9E" w:rsidR="00B40E0A" w:rsidRDefault="00B40E0A">
            <w:pPr>
              <w:rPr>
                <w:color w:val="000000"/>
              </w:rPr>
            </w:pPr>
            <w:r>
              <w:rPr>
                <w:color w:val="000000"/>
              </w:rPr>
              <w:t xml:space="preserve">Attendance at the </w:t>
            </w:r>
            <w:r w:rsidR="00055DF7">
              <w:rPr>
                <w:color w:val="000000"/>
              </w:rPr>
              <w:t>BSBP training service to receive independent living ser</w:t>
            </w:r>
            <w:r w:rsidR="00B271E4">
              <w:rPr>
                <w:color w:val="000000"/>
              </w:rPr>
              <w:t xml:space="preserve">vices. </w:t>
            </w:r>
          </w:p>
        </w:tc>
      </w:tr>
    </w:tbl>
    <w:p w14:paraId="0DDA835B" w14:textId="77777777" w:rsidR="00FB4EFA" w:rsidRDefault="00FB4EFA" w:rsidP="0031217B">
      <w:pPr>
        <w:jc w:val="both"/>
        <w:rPr>
          <w:b/>
          <w:bCs/>
        </w:rPr>
      </w:pPr>
    </w:p>
    <w:p w14:paraId="4EE379BD" w14:textId="77777777" w:rsidR="00FB4EFA" w:rsidRDefault="00FB4EFA" w:rsidP="0031217B">
      <w:pPr>
        <w:jc w:val="both"/>
        <w:rPr>
          <w:b/>
          <w:bCs/>
        </w:rPr>
      </w:pPr>
    </w:p>
    <w:p w14:paraId="4FD23822" w14:textId="77777777" w:rsidR="00AA4EDD" w:rsidRPr="00AA4EDD" w:rsidRDefault="00AA4EDD" w:rsidP="00AA4EDD">
      <w:pPr>
        <w:jc w:val="both"/>
        <w:rPr>
          <w:b/>
          <w:bCs/>
          <w:u w:val="single"/>
        </w:rPr>
      </w:pPr>
      <w:r w:rsidRPr="00AA4EDD">
        <w:rPr>
          <w:b/>
          <w:bCs/>
          <w:u w:val="single"/>
        </w:rPr>
        <w:t>SERVICE DATA</w:t>
      </w:r>
    </w:p>
    <w:tbl>
      <w:tblPr>
        <w:tblStyle w:val="TableGrid3"/>
        <w:tblW w:w="9450" w:type="dxa"/>
        <w:tblInd w:w="-5" w:type="dxa"/>
        <w:tblLook w:val="04A0" w:firstRow="1" w:lastRow="0" w:firstColumn="1" w:lastColumn="0" w:noHBand="0" w:noVBand="1"/>
      </w:tblPr>
      <w:tblGrid>
        <w:gridCol w:w="2869"/>
        <w:gridCol w:w="6581"/>
      </w:tblGrid>
      <w:tr w:rsidR="00F37475" w:rsidRPr="00AA4EDD" w14:paraId="4C7FC294" w14:textId="77777777" w:rsidTr="00F37475">
        <w:trPr>
          <w:trHeight w:val="547"/>
        </w:trPr>
        <w:tc>
          <w:tcPr>
            <w:tcW w:w="2869" w:type="dxa"/>
            <w:shd w:val="clear" w:color="auto" w:fill="262626" w:themeFill="text1" w:themeFillTint="D9"/>
            <w:vAlign w:val="center"/>
          </w:tcPr>
          <w:p w14:paraId="4EC056A1" w14:textId="77777777" w:rsidR="00F37475" w:rsidRPr="00AA4EDD" w:rsidRDefault="00F37475" w:rsidP="00AA4EDD">
            <w:r w:rsidRPr="00AA4EDD">
              <w:t>Description</w:t>
            </w:r>
          </w:p>
        </w:tc>
        <w:tc>
          <w:tcPr>
            <w:tcW w:w="6581" w:type="dxa"/>
            <w:shd w:val="clear" w:color="auto" w:fill="262626" w:themeFill="text1" w:themeFillTint="D9"/>
            <w:vAlign w:val="center"/>
          </w:tcPr>
          <w:p w14:paraId="0C163F1C" w14:textId="77777777" w:rsidR="00F37475" w:rsidRPr="00AA4EDD" w:rsidRDefault="00F37475" w:rsidP="00AA4EDD">
            <w:pPr>
              <w:jc w:val="center"/>
            </w:pPr>
            <w:r w:rsidRPr="00AA4EDD">
              <w:t>Total</w:t>
            </w:r>
          </w:p>
        </w:tc>
      </w:tr>
      <w:tr w:rsidR="00F37475" w:rsidRPr="00AA4EDD" w14:paraId="0C01B3F3" w14:textId="77777777" w:rsidTr="00F37475">
        <w:trPr>
          <w:trHeight w:val="432"/>
        </w:trPr>
        <w:tc>
          <w:tcPr>
            <w:tcW w:w="2869" w:type="dxa"/>
            <w:shd w:val="clear" w:color="auto" w:fill="D9D9D9" w:themeFill="background1" w:themeFillShade="D9"/>
            <w:vAlign w:val="bottom"/>
          </w:tcPr>
          <w:p w14:paraId="5C588473" w14:textId="77777777" w:rsidR="00F37475" w:rsidRPr="00AA4EDD" w:rsidRDefault="00F37475" w:rsidP="00AA4EDD">
            <w:r w:rsidRPr="00AA4EDD">
              <w:t>Total Customers</w:t>
            </w:r>
          </w:p>
        </w:tc>
        <w:tc>
          <w:tcPr>
            <w:tcW w:w="6581" w:type="dxa"/>
            <w:vAlign w:val="bottom"/>
          </w:tcPr>
          <w:p w14:paraId="257B7344" w14:textId="77777777" w:rsidR="00F37475" w:rsidRPr="00AA4EDD" w:rsidRDefault="00F37475" w:rsidP="00AA4EDD">
            <w:pPr>
              <w:jc w:val="center"/>
            </w:pPr>
            <w:r w:rsidRPr="00AA4EDD">
              <w:t>975</w:t>
            </w:r>
          </w:p>
        </w:tc>
      </w:tr>
      <w:tr w:rsidR="00F37475" w:rsidRPr="00AA4EDD" w14:paraId="0DE66A42" w14:textId="77777777" w:rsidTr="00F37475">
        <w:trPr>
          <w:trHeight w:val="432"/>
        </w:trPr>
        <w:tc>
          <w:tcPr>
            <w:tcW w:w="2869" w:type="dxa"/>
            <w:shd w:val="clear" w:color="auto" w:fill="D9D9D9" w:themeFill="background1" w:themeFillShade="D9"/>
            <w:vAlign w:val="bottom"/>
          </w:tcPr>
          <w:p w14:paraId="38612641" w14:textId="77777777" w:rsidR="00F37475" w:rsidRPr="00AA4EDD" w:rsidRDefault="00F37475" w:rsidP="00AA4EDD">
            <w:r w:rsidRPr="00AA4EDD">
              <w:t>SWD</w:t>
            </w:r>
          </w:p>
        </w:tc>
        <w:tc>
          <w:tcPr>
            <w:tcW w:w="6581" w:type="dxa"/>
            <w:vAlign w:val="bottom"/>
          </w:tcPr>
          <w:p w14:paraId="529DE1A5" w14:textId="77777777" w:rsidR="00F37475" w:rsidRPr="00AA4EDD" w:rsidRDefault="00F37475" w:rsidP="00AA4EDD">
            <w:pPr>
              <w:jc w:val="center"/>
            </w:pPr>
            <w:r w:rsidRPr="00AA4EDD">
              <w:t>312</w:t>
            </w:r>
          </w:p>
        </w:tc>
      </w:tr>
      <w:tr w:rsidR="00F37475" w:rsidRPr="00AA4EDD" w14:paraId="786AA04A" w14:textId="77777777" w:rsidTr="00F37475">
        <w:trPr>
          <w:trHeight w:val="432"/>
        </w:trPr>
        <w:tc>
          <w:tcPr>
            <w:tcW w:w="2869" w:type="dxa"/>
            <w:shd w:val="clear" w:color="auto" w:fill="D9D9D9" w:themeFill="background1" w:themeFillShade="D9"/>
            <w:vAlign w:val="bottom"/>
          </w:tcPr>
          <w:p w14:paraId="5B872E5B" w14:textId="77777777" w:rsidR="00F37475" w:rsidRPr="00AA4EDD" w:rsidRDefault="00F37475" w:rsidP="00AA4EDD">
            <w:r w:rsidRPr="00AA4EDD">
              <w:t>Adults</w:t>
            </w:r>
          </w:p>
        </w:tc>
        <w:tc>
          <w:tcPr>
            <w:tcW w:w="6581" w:type="dxa"/>
            <w:vAlign w:val="bottom"/>
          </w:tcPr>
          <w:p w14:paraId="36A87A5A" w14:textId="77777777" w:rsidR="00F37475" w:rsidRPr="00AA4EDD" w:rsidRDefault="00F37475" w:rsidP="00AA4EDD">
            <w:pPr>
              <w:jc w:val="center"/>
            </w:pPr>
            <w:r w:rsidRPr="00AA4EDD">
              <w:t>663</w:t>
            </w:r>
          </w:p>
        </w:tc>
      </w:tr>
      <w:tr w:rsidR="00F37475" w:rsidRPr="00AA4EDD" w14:paraId="4BD95D6A" w14:textId="77777777" w:rsidTr="00F37475">
        <w:trPr>
          <w:trHeight w:val="432"/>
        </w:trPr>
        <w:tc>
          <w:tcPr>
            <w:tcW w:w="2869" w:type="dxa"/>
            <w:shd w:val="clear" w:color="auto" w:fill="D9D9D9" w:themeFill="background1" w:themeFillShade="D9"/>
            <w:vAlign w:val="bottom"/>
          </w:tcPr>
          <w:p w14:paraId="07BC63FF" w14:textId="77777777" w:rsidR="00F37475" w:rsidRPr="00AA4EDD" w:rsidRDefault="00F37475" w:rsidP="00AA4EDD">
            <w:r w:rsidRPr="00AA4EDD">
              <w:t>Avg. Caseload Total</w:t>
            </w:r>
          </w:p>
        </w:tc>
        <w:tc>
          <w:tcPr>
            <w:tcW w:w="6581" w:type="dxa"/>
            <w:vAlign w:val="bottom"/>
          </w:tcPr>
          <w:p w14:paraId="034D699D" w14:textId="77777777" w:rsidR="00F37475" w:rsidRPr="00AA4EDD" w:rsidRDefault="00F37475" w:rsidP="00AA4EDD">
            <w:pPr>
              <w:jc w:val="center"/>
            </w:pPr>
            <w:r w:rsidRPr="00AA4EDD">
              <w:t>57</w:t>
            </w:r>
          </w:p>
        </w:tc>
      </w:tr>
      <w:tr w:rsidR="00F37475" w:rsidRPr="00AA4EDD" w14:paraId="31540DFF" w14:textId="77777777" w:rsidTr="00F37475">
        <w:trPr>
          <w:trHeight w:val="432"/>
        </w:trPr>
        <w:tc>
          <w:tcPr>
            <w:tcW w:w="2869" w:type="dxa"/>
            <w:shd w:val="clear" w:color="auto" w:fill="D9D9D9" w:themeFill="background1" w:themeFillShade="D9"/>
            <w:vAlign w:val="bottom"/>
          </w:tcPr>
          <w:p w14:paraId="6CE179E2" w14:textId="5E74C94D" w:rsidR="00F37475" w:rsidRPr="00AA4EDD" w:rsidRDefault="00F37475" w:rsidP="00AA4EDD"/>
        </w:tc>
        <w:tc>
          <w:tcPr>
            <w:tcW w:w="6581" w:type="dxa"/>
            <w:vAlign w:val="bottom"/>
          </w:tcPr>
          <w:p w14:paraId="6F1C7226" w14:textId="7FD661D9" w:rsidR="00F37475" w:rsidRPr="00AA4EDD" w:rsidRDefault="00F37475" w:rsidP="00AA4EDD">
            <w:pPr>
              <w:jc w:val="center"/>
            </w:pPr>
          </w:p>
        </w:tc>
      </w:tr>
    </w:tbl>
    <w:p w14:paraId="0D33ED50" w14:textId="77777777" w:rsidR="003944E2" w:rsidRDefault="003944E2" w:rsidP="003944E2">
      <w:pPr>
        <w:rPr>
          <w:b/>
          <w:bCs/>
          <w:color w:val="000000" w:themeColor="text1"/>
          <w:u w:val="single"/>
        </w:rPr>
      </w:pPr>
    </w:p>
    <w:p w14:paraId="7A2ABE15" w14:textId="6DF2A164" w:rsidR="00CB2A32" w:rsidRDefault="00CB2A32" w:rsidP="00CB2A32">
      <w:pPr>
        <w:contextualSpacing/>
        <w:jc w:val="both"/>
      </w:pPr>
      <w:r>
        <w:t>During Program year 2022</w:t>
      </w:r>
      <w:r w:rsidR="003C090C">
        <w:t xml:space="preserve"> (7/12022-6/30/2023)</w:t>
      </w:r>
    </w:p>
    <w:p w14:paraId="398C7008" w14:textId="71739512" w:rsidR="003944E2" w:rsidRDefault="003944E2" w:rsidP="003944E2">
      <w:pPr>
        <w:numPr>
          <w:ilvl w:val="0"/>
          <w:numId w:val="1"/>
        </w:numPr>
        <w:contextualSpacing/>
        <w:jc w:val="both"/>
      </w:pPr>
      <w:r>
        <w:t xml:space="preserve">BSBP assisted 79 individuals in obtaining competitive integrated employment. </w:t>
      </w:r>
    </w:p>
    <w:p w14:paraId="5BB2A5F7" w14:textId="77777777" w:rsidR="003944E2" w:rsidRDefault="003944E2" w:rsidP="003944E2">
      <w:pPr>
        <w:jc w:val="both"/>
      </w:pPr>
      <w:r>
        <w:t xml:space="preserve">Last Program Year 2021 (7/1/2021 – 6/30/2022) </w:t>
      </w:r>
    </w:p>
    <w:p w14:paraId="6F95E45F" w14:textId="77777777" w:rsidR="003944E2" w:rsidRDefault="003944E2" w:rsidP="003944E2">
      <w:pPr>
        <w:numPr>
          <w:ilvl w:val="0"/>
          <w:numId w:val="1"/>
        </w:numPr>
        <w:spacing w:before="100" w:beforeAutospacing="1" w:after="100" w:afterAutospacing="1"/>
        <w:contextualSpacing/>
        <w:jc w:val="both"/>
      </w:pPr>
      <w:r>
        <w:t xml:space="preserve">BSBP assisted 60 individuals in obtaining competitive integrated employment. </w:t>
      </w:r>
      <w:bookmarkStart w:id="1" w:name="_Hlk126569556"/>
    </w:p>
    <w:p w14:paraId="64670313" w14:textId="77777777" w:rsidR="003944E2" w:rsidRDefault="003944E2" w:rsidP="003944E2"/>
    <w:p w14:paraId="5BECD674" w14:textId="72EAC6DD" w:rsidR="0071195E" w:rsidRDefault="003944E2" w:rsidP="003944E2">
      <w:r>
        <w:lastRenderedPageBreak/>
        <w:t xml:space="preserve">Occupations and average hourly wage: $19.87 for individuals who exited successfully during the April to June quarters of FY23 </w:t>
      </w:r>
      <w:r w:rsidR="00EA697D">
        <w:t>and Program Year 2</w:t>
      </w:r>
      <w:r w:rsidR="004307E7">
        <w:t xml:space="preserve">022. </w:t>
      </w:r>
    </w:p>
    <w:p w14:paraId="67945F53" w14:textId="77777777" w:rsidR="003944E2" w:rsidRDefault="003944E2" w:rsidP="003944E2">
      <w:pPr>
        <w:pStyle w:val="ListParagraph"/>
        <w:numPr>
          <w:ilvl w:val="0"/>
          <w:numId w:val="2"/>
        </w:numPr>
      </w:pPr>
      <w:r>
        <w:t>Auditors</w:t>
      </w:r>
    </w:p>
    <w:p w14:paraId="4219EC29" w14:textId="77777777" w:rsidR="003944E2" w:rsidRDefault="003944E2" w:rsidP="003944E2">
      <w:pPr>
        <w:pStyle w:val="ListParagraph"/>
        <w:numPr>
          <w:ilvl w:val="0"/>
          <w:numId w:val="2"/>
        </w:numPr>
      </w:pPr>
      <w:r>
        <w:t>Chemical Engineers</w:t>
      </w:r>
    </w:p>
    <w:p w14:paraId="7785C825" w14:textId="77777777" w:rsidR="003944E2" w:rsidRDefault="003944E2" w:rsidP="003944E2">
      <w:pPr>
        <w:pStyle w:val="ListParagraph"/>
        <w:numPr>
          <w:ilvl w:val="0"/>
          <w:numId w:val="2"/>
        </w:numPr>
      </w:pPr>
      <w:r>
        <w:t>Customer Service Representatives (4)</w:t>
      </w:r>
    </w:p>
    <w:p w14:paraId="625C18D1" w14:textId="77777777" w:rsidR="003944E2" w:rsidRDefault="003944E2" w:rsidP="003944E2">
      <w:pPr>
        <w:pStyle w:val="ListParagraph"/>
        <w:numPr>
          <w:ilvl w:val="0"/>
          <w:numId w:val="2"/>
        </w:numPr>
      </w:pPr>
      <w:r>
        <w:t>Food Preparation Workers</w:t>
      </w:r>
    </w:p>
    <w:p w14:paraId="023100FE" w14:textId="77777777" w:rsidR="003944E2" w:rsidRDefault="003944E2" w:rsidP="003944E2">
      <w:pPr>
        <w:pStyle w:val="ListParagraph"/>
        <w:numPr>
          <w:ilvl w:val="0"/>
          <w:numId w:val="2"/>
        </w:numPr>
      </w:pPr>
      <w:r>
        <w:t>Food Service Managers</w:t>
      </w:r>
    </w:p>
    <w:p w14:paraId="2CFFB570" w14:textId="77777777" w:rsidR="003944E2" w:rsidRDefault="003944E2" w:rsidP="003944E2">
      <w:pPr>
        <w:pStyle w:val="ListParagraph"/>
        <w:numPr>
          <w:ilvl w:val="0"/>
          <w:numId w:val="2"/>
        </w:numPr>
      </w:pPr>
      <w:r>
        <w:t>Insurance Sales Agents</w:t>
      </w:r>
    </w:p>
    <w:p w14:paraId="68E06720" w14:textId="77777777" w:rsidR="003944E2" w:rsidRDefault="003944E2" w:rsidP="003944E2">
      <w:pPr>
        <w:pStyle w:val="ListParagraph"/>
        <w:numPr>
          <w:ilvl w:val="0"/>
          <w:numId w:val="2"/>
        </w:numPr>
      </w:pPr>
      <w:r>
        <w:t>Low Vision Therapists, Orientation and Mobility Specialists, and Vision Rehabilitation Therapists</w:t>
      </w:r>
    </w:p>
    <w:p w14:paraId="03E11484" w14:textId="77777777" w:rsidR="003944E2" w:rsidRDefault="003944E2" w:rsidP="003944E2">
      <w:pPr>
        <w:pStyle w:val="ListParagraph"/>
        <w:numPr>
          <w:ilvl w:val="0"/>
          <w:numId w:val="2"/>
        </w:numPr>
      </w:pPr>
      <w:r>
        <w:t>Maids and Housekeeping Cleaners</w:t>
      </w:r>
    </w:p>
    <w:p w14:paraId="6CDCAFEB" w14:textId="77777777" w:rsidR="003944E2" w:rsidRDefault="003944E2" w:rsidP="003944E2">
      <w:pPr>
        <w:pStyle w:val="ListParagraph"/>
        <w:numPr>
          <w:ilvl w:val="0"/>
          <w:numId w:val="2"/>
        </w:numPr>
      </w:pPr>
      <w:r>
        <w:t>Massage Therapists</w:t>
      </w:r>
    </w:p>
    <w:p w14:paraId="6955AB67" w14:textId="77777777" w:rsidR="003944E2" w:rsidRDefault="003944E2" w:rsidP="003944E2">
      <w:pPr>
        <w:pStyle w:val="ListParagraph"/>
        <w:numPr>
          <w:ilvl w:val="0"/>
          <w:numId w:val="2"/>
        </w:numPr>
      </w:pPr>
      <w:r>
        <w:t>Media and Communication Workers, All Other</w:t>
      </w:r>
    </w:p>
    <w:p w14:paraId="169D70F4" w14:textId="77777777" w:rsidR="003944E2" w:rsidRDefault="003944E2" w:rsidP="003944E2">
      <w:pPr>
        <w:pStyle w:val="ListParagraph"/>
        <w:numPr>
          <w:ilvl w:val="0"/>
          <w:numId w:val="2"/>
        </w:numPr>
      </w:pPr>
      <w:r>
        <w:t>Middle School Teachers, Except Special and Vocational Education</w:t>
      </w:r>
    </w:p>
    <w:p w14:paraId="3102EEA6" w14:textId="77777777" w:rsidR="003944E2" w:rsidRDefault="003944E2" w:rsidP="003944E2">
      <w:pPr>
        <w:pStyle w:val="ListParagraph"/>
        <w:numPr>
          <w:ilvl w:val="0"/>
          <w:numId w:val="2"/>
        </w:numPr>
      </w:pPr>
      <w:r>
        <w:t>Production Workers, All Other</w:t>
      </w:r>
    </w:p>
    <w:p w14:paraId="588A1E03" w14:textId="77777777" w:rsidR="003944E2" w:rsidRDefault="003944E2" w:rsidP="003944E2">
      <w:pPr>
        <w:pStyle w:val="ListParagraph"/>
        <w:numPr>
          <w:ilvl w:val="0"/>
          <w:numId w:val="2"/>
        </w:numPr>
      </w:pPr>
      <w:r>
        <w:t>Quality Control Analysts</w:t>
      </w:r>
    </w:p>
    <w:p w14:paraId="45AE2C69" w14:textId="77777777" w:rsidR="003944E2" w:rsidRDefault="003944E2" w:rsidP="003944E2">
      <w:pPr>
        <w:pStyle w:val="ListParagraph"/>
        <w:numPr>
          <w:ilvl w:val="0"/>
          <w:numId w:val="2"/>
        </w:numPr>
      </w:pPr>
      <w:r>
        <w:t>Stock Clerks and Order Fillers</w:t>
      </w:r>
    </w:p>
    <w:p w14:paraId="45EA9162" w14:textId="77777777" w:rsidR="003944E2" w:rsidRDefault="003944E2" w:rsidP="003944E2">
      <w:pPr>
        <w:pStyle w:val="ListParagraph"/>
        <w:numPr>
          <w:ilvl w:val="0"/>
          <w:numId w:val="2"/>
        </w:numPr>
      </w:pPr>
      <w:r>
        <w:t>Teacher Assistants</w:t>
      </w:r>
    </w:p>
    <w:p w14:paraId="52D84341" w14:textId="77777777" w:rsidR="003944E2" w:rsidRDefault="003944E2" w:rsidP="003944E2">
      <w:pPr>
        <w:pStyle w:val="ListParagraph"/>
        <w:numPr>
          <w:ilvl w:val="0"/>
          <w:numId w:val="2"/>
        </w:numPr>
      </w:pPr>
      <w:r>
        <w:t>Transportation Workers, All Other</w:t>
      </w:r>
    </w:p>
    <w:p w14:paraId="4D98E89B" w14:textId="77777777" w:rsidR="003944E2" w:rsidRDefault="003944E2" w:rsidP="003944E2">
      <w:pPr>
        <w:pStyle w:val="ListParagraph"/>
        <w:numPr>
          <w:ilvl w:val="0"/>
          <w:numId w:val="2"/>
        </w:numPr>
      </w:pPr>
      <w:r>
        <w:t>Veterinary Technologists and Technicians</w:t>
      </w:r>
    </w:p>
    <w:p w14:paraId="7E2073E5" w14:textId="77777777" w:rsidR="003944E2" w:rsidRDefault="003944E2" w:rsidP="003944E2"/>
    <w:p w14:paraId="3E0B267B" w14:textId="77777777" w:rsidR="003944E2" w:rsidRDefault="003944E2" w:rsidP="003944E2">
      <w:r>
        <w:t xml:space="preserve">Occupations and average hourly wage: $16.50 for individuals who exited successfully during the April to June quarters of FY22 and PY21. </w:t>
      </w:r>
      <w:bookmarkEnd w:id="1"/>
    </w:p>
    <w:p w14:paraId="4CD01420" w14:textId="77777777" w:rsidR="003944E2" w:rsidRDefault="003944E2" w:rsidP="003944E2">
      <w:pPr>
        <w:pStyle w:val="ListParagraph"/>
        <w:numPr>
          <w:ilvl w:val="0"/>
          <w:numId w:val="3"/>
        </w:numPr>
      </w:pPr>
      <w:r>
        <w:t>Assessors</w:t>
      </w:r>
    </w:p>
    <w:p w14:paraId="65A0E87D" w14:textId="77777777" w:rsidR="003944E2" w:rsidRDefault="003944E2" w:rsidP="003944E2">
      <w:pPr>
        <w:pStyle w:val="ListParagraph"/>
        <w:numPr>
          <w:ilvl w:val="0"/>
          <w:numId w:val="3"/>
        </w:numPr>
      </w:pPr>
      <w:r>
        <w:t>Community Health Workers</w:t>
      </w:r>
    </w:p>
    <w:p w14:paraId="6903ED95" w14:textId="77777777" w:rsidR="003944E2" w:rsidRDefault="003944E2" w:rsidP="003944E2">
      <w:pPr>
        <w:pStyle w:val="ListParagraph"/>
        <w:numPr>
          <w:ilvl w:val="0"/>
          <w:numId w:val="3"/>
        </w:numPr>
      </w:pPr>
      <w:r>
        <w:t>Cooks, Fast Food</w:t>
      </w:r>
    </w:p>
    <w:p w14:paraId="56BE55BA" w14:textId="77777777" w:rsidR="003944E2" w:rsidRDefault="003944E2" w:rsidP="003944E2">
      <w:pPr>
        <w:pStyle w:val="ListParagraph"/>
        <w:numPr>
          <w:ilvl w:val="0"/>
          <w:numId w:val="3"/>
        </w:numPr>
      </w:pPr>
      <w:r>
        <w:t>Executive Secretaries and Administrative Assistants</w:t>
      </w:r>
    </w:p>
    <w:p w14:paraId="5EEBB049" w14:textId="77777777" w:rsidR="003944E2" w:rsidRDefault="003944E2" w:rsidP="003944E2">
      <w:pPr>
        <w:pStyle w:val="ListParagraph"/>
        <w:numPr>
          <w:ilvl w:val="0"/>
          <w:numId w:val="3"/>
        </w:numPr>
      </w:pPr>
      <w:r>
        <w:t>Food Preparation Workers</w:t>
      </w:r>
    </w:p>
    <w:p w14:paraId="12D6DA0E" w14:textId="77777777" w:rsidR="003944E2" w:rsidRDefault="003944E2" w:rsidP="003944E2">
      <w:pPr>
        <w:pStyle w:val="ListParagraph"/>
        <w:numPr>
          <w:ilvl w:val="0"/>
          <w:numId w:val="3"/>
        </w:numPr>
      </w:pPr>
      <w:r>
        <w:t>Intelligence Analysts</w:t>
      </w:r>
    </w:p>
    <w:p w14:paraId="57781663" w14:textId="77777777" w:rsidR="003944E2" w:rsidRDefault="003944E2" w:rsidP="003944E2">
      <w:pPr>
        <w:pStyle w:val="ListParagraph"/>
        <w:numPr>
          <w:ilvl w:val="0"/>
          <w:numId w:val="3"/>
        </w:numPr>
      </w:pPr>
      <w:r>
        <w:t>Interpreters and Translators</w:t>
      </w:r>
    </w:p>
    <w:p w14:paraId="34FFC2DC" w14:textId="77777777" w:rsidR="003944E2" w:rsidRDefault="003944E2" w:rsidP="003944E2">
      <w:pPr>
        <w:pStyle w:val="ListParagraph"/>
        <w:numPr>
          <w:ilvl w:val="0"/>
          <w:numId w:val="3"/>
        </w:numPr>
      </w:pPr>
      <w:r>
        <w:t>Managers, All Other</w:t>
      </w:r>
    </w:p>
    <w:p w14:paraId="52E3452B" w14:textId="77777777" w:rsidR="003944E2" w:rsidRDefault="003944E2" w:rsidP="003944E2">
      <w:pPr>
        <w:pStyle w:val="ListParagraph"/>
        <w:numPr>
          <w:ilvl w:val="0"/>
          <w:numId w:val="3"/>
        </w:numPr>
      </w:pPr>
      <w:r>
        <w:t>Office Clerks, General</w:t>
      </w:r>
    </w:p>
    <w:p w14:paraId="73E154E4" w14:textId="77777777" w:rsidR="003944E2" w:rsidRDefault="003944E2" w:rsidP="003944E2">
      <w:pPr>
        <w:pStyle w:val="ListParagraph"/>
        <w:numPr>
          <w:ilvl w:val="0"/>
          <w:numId w:val="3"/>
        </w:numPr>
      </w:pPr>
      <w:r>
        <w:t>Randolph-Sheppard Vending Facility Operator (2)</w:t>
      </w:r>
    </w:p>
    <w:p w14:paraId="2682999A" w14:textId="77777777" w:rsidR="003944E2" w:rsidRDefault="003944E2" w:rsidP="003944E2">
      <w:pPr>
        <w:pStyle w:val="ListParagraph"/>
        <w:numPr>
          <w:ilvl w:val="0"/>
          <w:numId w:val="3"/>
        </w:numPr>
      </w:pPr>
      <w:r>
        <w:t>Recreation Workers</w:t>
      </w:r>
    </w:p>
    <w:p w14:paraId="7B4B7CA3" w14:textId="77777777" w:rsidR="003944E2" w:rsidRDefault="003944E2" w:rsidP="003944E2">
      <w:pPr>
        <w:pStyle w:val="ListParagraph"/>
        <w:numPr>
          <w:ilvl w:val="0"/>
          <w:numId w:val="3"/>
        </w:numPr>
      </w:pPr>
      <w:r>
        <w:t>Retail Salespersons</w:t>
      </w:r>
    </w:p>
    <w:p w14:paraId="19F9754C" w14:textId="77777777" w:rsidR="003944E2" w:rsidRDefault="003944E2" w:rsidP="003944E2">
      <w:pPr>
        <w:pStyle w:val="ListParagraph"/>
        <w:numPr>
          <w:ilvl w:val="0"/>
          <w:numId w:val="3"/>
        </w:numPr>
      </w:pPr>
      <w:r>
        <w:t>Social and Human Service Assistants</w:t>
      </w:r>
    </w:p>
    <w:p w14:paraId="1215B6A9" w14:textId="77777777" w:rsidR="003944E2" w:rsidRDefault="003944E2" w:rsidP="003944E2">
      <w:pPr>
        <w:pStyle w:val="ListParagraph"/>
        <w:numPr>
          <w:ilvl w:val="0"/>
          <w:numId w:val="3"/>
        </w:numPr>
      </w:pPr>
      <w:r>
        <w:t>Stock Clerks- Stockroom, Warehouse, or Storage Yard (2)</w:t>
      </w:r>
    </w:p>
    <w:p w14:paraId="660D20E6" w14:textId="77777777" w:rsidR="003944E2" w:rsidRDefault="003944E2" w:rsidP="003944E2"/>
    <w:p w14:paraId="20B3F78A" w14:textId="77777777" w:rsidR="003944E2" w:rsidRDefault="003944E2" w:rsidP="003944E2">
      <w:pPr>
        <w:rPr>
          <w:b/>
          <w:bCs/>
        </w:rPr>
      </w:pPr>
      <w:r>
        <w:rPr>
          <w:b/>
          <w:bCs/>
        </w:rPr>
        <w:t>BSBP Field Services Highlights:</w:t>
      </w:r>
    </w:p>
    <w:p w14:paraId="332C36C2" w14:textId="613DCF52" w:rsidR="003944E2" w:rsidRDefault="008F7475" w:rsidP="00D42063">
      <w:pPr>
        <w:pStyle w:val="ListParagraph"/>
        <w:numPr>
          <w:ilvl w:val="0"/>
          <w:numId w:val="1"/>
        </w:numPr>
        <w:spacing w:before="100" w:beforeAutospacing="1"/>
        <w:jc w:val="both"/>
      </w:pPr>
      <w:r>
        <w:t>T</w:t>
      </w:r>
      <w:r w:rsidR="003944E2">
        <w:t xml:space="preserve">he technical assistance related to off-site training for Supported Employment (SE) with the Vocational Rehabilitation Technical Assistance Center – Quality Employment (VRTAC-QE) was completed. FSD and TIPP are working with VRTAC-QE to finalize a SE policy and provide an onsite training in October to reinforce previous virtual trainings. </w:t>
      </w:r>
    </w:p>
    <w:p w14:paraId="423D9136" w14:textId="1B477161" w:rsidR="003944E2" w:rsidRDefault="003944E2" w:rsidP="003944E2">
      <w:pPr>
        <w:numPr>
          <w:ilvl w:val="0"/>
          <w:numId w:val="4"/>
        </w:numPr>
        <w:spacing w:before="100" w:beforeAutospacing="1" w:after="100" w:afterAutospacing="1"/>
        <w:contextualSpacing/>
        <w:jc w:val="both"/>
      </w:pPr>
      <w:r>
        <w:t>The field continues to be challenged by human resource needs. The Central Regional Manager left for another opportunity with the school system and there continue</w:t>
      </w:r>
      <w:r w:rsidR="008F7475">
        <w:t>s</w:t>
      </w:r>
      <w:r>
        <w:t xml:space="preserve"> to be open counselor positions. </w:t>
      </w:r>
    </w:p>
    <w:p w14:paraId="4EF88B33" w14:textId="77777777" w:rsidR="003944E2" w:rsidRDefault="003944E2" w:rsidP="003944E2">
      <w:pPr>
        <w:numPr>
          <w:ilvl w:val="0"/>
          <w:numId w:val="4"/>
        </w:numPr>
        <w:spacing w:before="100" w:beforeAutospacing="1" w:after="100" w:afterAutospacing="1"/>
        <w:contextualSpacing/>
        <w:jc w:val="both"/>
      </w:pPr>
      <w:r>
        <w:t>BSBP remains committed to the Customized Employment (CE) service delivery model. BSBP is working towards the fifth</w:t>
      </w:r>
      <w:r>
        <w:rPr>
          <w:vertAlign w:val="superscript"/>
        </w:rPr>
        <w:t xml:space="preserve"> </w:t>
      </w:r>
      <w:r>
        <w:t xml:space="preserve">placement and serves as an example to other blind agencies. In June, BSBP participated in a </w:t>
      </w:r>
      <w:r w:rsidRPr="00D42063">
        <w:t>CoP</w:t>
      </w:r>
      <w:r>
        <w:t xml:space="preserve"> on CE sponsored by NCSAB’s employment committee. Additional referrals for CE continue.  </w:t>
      </w:r>
    </w:p>
    <w:p w14:paraId="3001016A" w14:textId="4032708B" w:rsidR="003944E2" w:rsidRDefault="003944E2" w:rsidP="003944E2">
      <w:pPr>
        <w:numPr>
          <w:ilvl w:val="0"/>
          <w:numId w:val="4"/>
        </w:numPr>
        <w:spacing w:before="100" w:beforeAutospacing="1" w:after="100" w:afterAutospacing="1"/>
        <w:contextualSpacing/>
        <w:jc w:val="both"/>
      </w:pPr>
      <w:r>
        <w:t xml:space="preserve">BSBP, MRS and our </w:t>
      </w:r>
      <w:r w:rsidR="008F7475">
        <w:t>w</w:t>
      </w:r>
      <w:r>
        <w:t xml:space="preserve">orkforce </w:t>
      </w:r>
      <w:r w:rsidR="008F7475">
        <w:t>d</w:t>
      </w:r>
      <w:r>
        <w:t xml:space="preserve">evelopment partners have scheduled a series of webinars for business that promotes retention services, mental health awareness, youth employment and other topics. We are now considering topics for FY24 such as services to </w:t>
      </w:r>
      <w:r w:rsidRPr="00D42063">
        <w:t>business from VR</w:t>
      </w:r>
      <w:r>
        <w:t xml:space="preserve">. </w:t>
      </w:r>
    </w:p>
    <w:p w14:paraId="31A009D6" w14:textId="1501DAF6" w:rsidR="003944E2" w:rsidRDefault="003944E2" w:rsidP="003944E2">
      <w:pPr>
        <w:numPr>
          <w:ilvl w:val="0"/>
          <w:numId w:val="4"/>
        </w:numPr>
        <w:spacing w:before="100" w:beforeAutospacing="1" w:after="100" w:afterAutospacing="1"/>
        <w:contextualSpacing/>
        <w:jc w:val="both"/>
      </w:pPr>
      <w:r>
        <w:t xml:space="preserve">The 2024 </w:t>
      </w:r>
      <w:r w:rsidR="00DB2BF2">
        <w:t>Combined</w:t>
      </w:r>
      <w:r>
        <w:t xml:space="preserve"> State Plan development will commence this fall. Meetings have already begun to assist in setting timelines and coordination among the partners. </w:t>
      </w:r>
    </w:p>
    <w:p w14:paraId="63A637C6" w14:textId="369B038B" w:rsidR="003944E2" w:rsidRDefault="003944E2" w:rsidP="003944E2">
      <w:pPr>
        <w:numPr>
          <w:ilvl w:val="0"/>
          <w:numId w:val="4"/>
        </w:numPr>
        <w:spacing w:before="100" w:beforeAutospacing="1" w:after="100" w:afterAutospacing="1"/>
        <w:contextualSpacing/>
        <w:jc w:val="both"/>
      </w:pPr>
      <w:r>
        <w:t xml:space="preserve">The BSBP Director, with input from FSD and </w:t>
      </w:r>
      <w:r w:rsidR="00C27007">
        <w:t>the Tra</w:t>
      </w:r>
      <w:r w:rsidR="00C7510E">
        <w:t>ining</w:t>
      </w:r>
      <w:r w:rsidR="00C27007">
        <w:t xml:space="preserve"> </w:t>
      </w:r>
      <w:r w:rsidR="00BF6B5F">
        <w:t>and Innovative Policy and Proced</w:t>
      </w:r>
      <w:r w:rsidR="000312BA">
        <w:t xml:space="preserve">ure unit </w:t>
      </w:r>
      <w:r>
        <w:t>has contracted with the Institute for Community Inclusion at UMASS-Boston to turn attention to engagement of VR customers and our workforce development partners. Anticipated to launch in FY24, BSBP is very excited about this project. More to come at the next update.</w:t>
      </w:r>
    </w:p>
    <w:p w14:paraId="7AB68962" w14:textId="77777777" w:rsidR="003944E2" w:rsidRDefault="003944E2" w:rsidP="003944E2">
      <w:pPr>
        <w:spacing w:before="100" w:beforeAutospacing="1" w:after="100" w:afterAutospacing="1"/>
        <w:contextualSpacing/>
        <w:jc w:val="both"/>
      </w:pPr>
    </w:p>
    <w:p w14:paraId="47C1685E" w14:textId="77777777" w:rsidR="003944E2" w:rsidRDefault="003944E2" w:rsidP="003944E2">
      <w:pPr>
        <w:rPr>
          <w:b/>
          <w:bCs/>
          <w:color w:val="000000" w:themeColor="text1"/>
        </w:rPr>
      </w:pPr>
      <w:r>
        <w:rPr>
          <w:b/>
          <w:bCs/>
          <w:color w:val="000000" w:themeColor="text1"/>
        </w:rPr>
        <w:t>VR Priorities:</w:t>
      </w:r>
    </w:p>
    <w:p w14:paraId="61CDAA0D" w14:textId="2EA79EDE" w:rsidR="003944E2" w:rsidRDefault="003944E2" w:rsidP="003944E2">
      <w:pPr>
        <w:pStyle w:val="ListParagraph"/>
        <w:numPr>
          <w:ilvl w:val="0"/>
          <w:numId w:val="5"/>
        </w:numPr>
        <w:jc w:val="both"/>
        <w:rPr>
          <w:color w:val="000000" w:themeColor="text1"/>
        </w:rPr>
      </w:pPr>
      <w:r>
        <w:rPr>
          <w:color w:val="000000" w:themeColor="text1"/>
        </w:rPr>
        <w:t>Customized Employment (CE) Pilots and translating to specific CE outcomes</w:t>
      </w:r>
      <w:r w:rsidR="008F7475">
        <w:rPr>
          <w:color w:val="000000" w:themeColor="text1"/>
        </w:rPr>
        <w:t>.</w:t>
      </w:r>
    </w:p>
    <w:p w14:paraId="2A018EA3" w14:textId="6F867B6B" w:rsidR="003944E2" w:rsidRDefault="003944E2" w:rsidP="003944E2">
      <w:pPr>
        <w:pStyle w:val="ListParagraph"/>
        <w:numPr>
          <w:ilvl w:val="0"/>
          <w:numId w:val="5"/>
        </w:numPr>
        <w:jc w:val="both"/>
        <w:rPr>
          <w:rFonts w:eastAsia="Arial"/>
          <w:color w:val="000000" w:themeColor="text1"/>
        </w:rPr>
      </w:pPr>
      <w:r>
        <w:rPr>
          <w:color w:val="000000" w:themeColor="text1"/>
        </w:rPr>
        <w:t>Supported Employment (SE) technical assistance and translating knowledge to specific SE outcomes</w:t>
      </w:r>
      <w:r w:rsidR="008F7475">
        <w:rPr>
          <w:color w:val="000000" w:themeColor="text1"/>
        </w:rPr>
        <w:t>.</w:t>
      </w:r>
      <w:r>
        <w:rPr>
          <w:color w:val="000000" w:themeColor="text1"/>
        </w:rPr>
        <w:t xml:space="preserve"> </w:t>
      </w:r>
    </w:p>
    <w:p w14:paraId="18C9DBDC" w14:textId="77777777" w:rsidR="003944E2" w:rsidRDefault="003944E2" w:rsidP="003944E2">
      <w:pPr>
        <w:pStyle w:val="ListParagraph"/>
        <w:numPr>
          <w:ilvl w:val="0"/>
          <w:numId w:val="5"/>
        </w:numPr>
        <w:rPr>
          <w:color w:val="000000" w:themeColor="text1"/>
        </w:rPr>
      </w:pPr>
      <w:r>
        <w:rPr>
          <w:color w:val="000000" w:themeColor="text1"/>
        </w:rPr>
        <w:t xml:space="preserve">Quality and Assurance focus for Individualized Plans for Employment </w:t>
      </w:r>
    </w:p>
    <w:p w14:paraId="130435D4" w14:textId="77777777" w:rsidR="003944E2" w:rsidRDefault="003944E2" w:rsidP="003944E2">
      <w:pPr>
        <w:pStyle w:val="ListParagraph"/>
        <w:numPr>
          <w:ilvl w:val="0"/>
          <w:numId w:val="5"/>
        </w:numPr>
        <w:rPr>
          <w:color w:val="000000" w:themeColor="text1"/>
        </w:rPr>
      </w:pPr>
      <w:r>
        <w:rPr>
          <w:color w:val="000000" w:themeColor="text1"/>
        </w:rPr>
        <w:t>Benefits Planning and Counseling &amp; Financial Literacy Instruction</w:t>
      </w:r>
    </w:p>
    <w:p w14:paraId="2391D49E" w14:textId="29654F80" w:rsidR="003944E2" w:rsidRDefault="003944E2" w:rsidP="003944E2">
      <w:pPr>
        <w:pStyle w:val="ListParagraph"/>
        <w:numPr>
          <w:ilvl w:val="0"/>
          <w:numId w:val="5"/>
        </w:numPr>
        <w:rPr>
          <w:color w:val="000000" w:themeColor="text1"/>
        </w:rPr>
      </w:pPr>
      <w:r>
        <w:rPr>
          <w:rFonts w:eastAsia="Arial"/>
        </w:rPr>
        <w:lastRenderedPageBreak/>
        <w:t>Utilizing the Comprehensive Statewide Needs Assessment (CSNA) to inform planning for FY24 services</w:t>
      </w:r>
      <w:r w:rsidR="008F7475">
        <w:rPr>
          <w:rFonts w:eastAsia="Arial"/>
        </w:rPr>
        <w:t>.</w:t>
      </w:r>
    </w:p>
    <w:p w14:paraId="18AABF98" w14:textId="77777777" w:rsidR="00A970DC" w:rsidRDefault="00A970DC"/>
    <w:p w14:paraId="29D2E228" w14:textId="77777777" w:rsidR="008F7475" w:rsidRDefault="008F7475"/>
    <w:p w14:paraId="0C372EB3" w14:textId="77777777" w:rsidR="008F7475" w:rsidRDefault="008F7475">
      <w:pPr>
        <w:rPr>
          <w:b/>
          <w:bCs/>
        </w:rPr>
      </w:pPr>
    </w:p>
    <w:p w14:paraId="7BC01D02" w14:textId="77777777" w:rsidR="008F7475" w:rsidRDefault="008F7475">
      <w:pPr>
        <w:rPr>
          <w:b/>
          <w:bCs/>
        </w:rPr>
      </w:pPr>
    </w:p>
    <w:p w14:paraId="6276B7EC" w14:textId="3C07366F" w:rsidR="008F7475" w:rsidRDefault="008F7475">
      <w:pPr>
        <w:rPr>
          <w:b/>
          <w:bCs/>
        </w:rPr>
      </w:pPr>
      <w:r w:rsidRPr="008F7475">
        <w:rPr>
          <w:b/>
          <w:bCs/>
        </w:rPr>
        <w:t>BSBP Core Values</w:t>
      </w:r>
      <w:r>
        <w:rPr>
          <w:b/>
          <w:bCs/>
        </w:rPr>
        <w:t>:</w:t>
      </w:r>
    </w:p>
    <w:p w14:paraId="4165F0B6" w14:textId="77777777" w:rsidR="008F7475" w:rsidRPr="00B53EBB" w:rsidRDefault="008F7475" w:rsidP="008F7475">
      <w:pPr>
        <w:tabs>
          <w:tab w:val="center" w:pos="4680"/>
          <w:tab w:val="right" w:pos="9360"/>
        </w:tabs>
      </w:pPr>
      <w:r w:rsidRPr="00872200">
        <w:t xml:space="preserve">Accountability/Reliability; Client-Focus; Demand Driven Employment; Diversity/Inclusion; </w:t>
      </w:r>
      <w:r w:rsidRPr="00B53EBB">
        <w:t>Efficiency; Excellence; Integrity/Honesty; Positive Mental Attitude; Safety; Teamwork; Transparency/Open Communication; Trust and Respect.</w:t>
      </w:r>
    </w:p>
    <w:p w14:paraId="466F92F7" w14:textId="77777777" w:rsidR="008F7475" w:rsidRDefault="008F7475">
      <w:pPr>
        <w:rPr>
          <w:b/>
          <w:bCs/>
        </w:rPr>
      </w:pPr>
    </w:p>
    <w:p w14:paraId="10381CDB" w14:textId="06F8089B" w:rsidR="008F7475" w:rsidRDefault="008F7475">
      <w:pPr>
        <w:rPr>
          <w:b/>
          <w:bCs/>
        </w:rPr>
      </w:pPr>
      <w:r>
        <w:rPr>
          <w:b/>
          <w:bCs/>
        </w:rPr>
        <w:t>BSBP Pillars:</w:t>
      </w:r>
    </w:p>
    <w:p w14:paraId="04630E92" w14:textId="77777777" w:rsidR="008F7475" w:rsidRPr="008F7475" w:rsidRDefault="008F7475" w:rsidP="008F7475">
      <w:pPr>
        <w:numPr>
          <w:ilvl w:val="0"/>
          <w:numId w:val="6"/>
        </w:numPr>
        <w:spacing w:after="160" w:line="259" w:lineRule="auto"/>
        <w:rPr>
          <w:rFonts w:eastAsia="Times New Roman"/>
        </w:rPr>
      </w:pPr>
      <w:r w:rsidRPr="008F7475">
        <w:rPr>
          <w:rFonts w:eastAsia="Times New Roman"/>
        </w:rPr>
        <w:t xml:space="preserve">Fiscal responsibility and accountability. The RAAN principle is codified in the terms of BSBP’s federal grant agreements – Reasonable, Allowable, Allocable and Necessary. </w:t>
      </w:r>
    </w:p>
    <w:p w14:paraId="6732A4AB" w14:textId="77777777" w:rsidR="008F7475" w:rsidRPr="008F7475" w:rsidRDefault="008F7475" w:rsidP="008F7475">
      <w:pPr>
        <w:numPr>
          <w:ilvl w:val="0"/>
          <w:numId w:val="6"/>
        </w:numPr>
        <w:spacing w:after="160" w:line="259" w:lineRule="auto"/>
        <w:rPr>
          <w:rFonts w:eastAsia="Times New Roman"/>
        </w:rPr>
      </w:pPr>
      <w:r w:rsidRPr="008F7475">
        <w:rPr>
          <w:rFonts w:eastAsia="Times New Roman"/>
        </w:rPr>
        <w:t>Transformational service models and processes</w:t>
      </w:r>
    </w:p>
    <w:p w14:paraId="1CE425B7" w14:textId="77777777" w:rsidR="008F7475" w:rsidRPr="008F7475" w:rsidRDefault="008F7475" w:rsidP="008F7475">
      <w:pPr>
        <w:numPr>
          <w:ilvl w:val="0"/>
          <w:numId w:val="6"/>
        </w:numPr>
        <w:spacing w:after="160" w:line="259" w:lineRule="auto"/>
        <w:rPr>
          <w:rFonts w:eastAsia="Times New Roman"/>
        </w:rPr>
      </w:pPr>
      <w:r w:rsidRPr="008F7475">
        <w:rPr>
          <w:rFonts w:eastAsia="Times New Roman"/>
        </w:rPr>
        <w:t>Modernization</w:t>
      </w:r>
    </w:p>
    <w:p w14:paraId="77879F0A" w14:textId="77777777" w:rsidR="008F7475" w:rsidRPr="008F7475" w:rsidRDefault="008F7475" w:rsidP="008F7475">
      <w:pPr>
        <w:numPr>
          <w:ilvl w:val="0"/>
          <w:numId w:val="6"/>
        </w:numPr>
        <w:spacing w:after="160" w:line="259" w:lineRule="auto"/>
        <w:rPr>
          <w:rFonts w:eastAsia="Times New Roman"/>
        </w:rPr>
      </w:pPr>
      <w:r w:rsidRPr="008F7475">
        <w:rPr>
          <w:rFonts w:eastAsia="Times New Roman"/>
        </w:rPr>
        <w:t>NextGen leadership</w:t>
      </w:r>
    </w:p>
    <w:p w14:paraId="5D7935C1" w14:textId="77777777" w:rsidR="008F7475" w:rsidRPr="008F7475" w:rsidRDefault="008F7475">
      <w:pPr>
        <w:rPr>
          <w:b/>
          <w:bCs/>
        </w:rPr>
      </w:pPr>
    </w:p>
    <w:sectPr w:rsidR="008F7475" w:rsidRPr="008F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583"/>
    <w:multiLevelType w:val="hybridMultilevel"/>
    <w:tmpl w:val="1B3E82B8"/>
    <w:lvl w:ilvl="0" w:tplc="5A829D86">
      <w:start w:val="1"/>
      <w:numFmt w:val="bullet"/>
      <w:lvlText w:val=""/>
      <w:lvlJc w:val="left"/>
      <w:pPr>
        <w:ind w:left="720" w:hanging="360"/>
      </w:pPr>
      <w:rPr>
        <w:rFonts w:ascii="Symbol" w:hAnsi="Symbol" w:hint="default"/>
      </w:rPr>
    </w:lvl>
    <w:lvl w:ilvl="1" w:tplc="CE60F85C">
      <w:start w:val="1"/>
      <w:numFmt w:val="bullet"/>
      <w:lvlText w:val="o"/>
      <w:lvlJc w:val="left"/>
      <w:pPr>
        <w:ind w:left="1440" w:hanging="360"/>
      </w:pPr>
      <w:rPr>
        <w:rFonts w:ascii="Courier New" w:hAnsi="Courier New" w:cs="Times New Roman" w:hint="default"/>
      </w:rPr>
    </w:lvl>
    <w:lvl w:ilvl="2" w:tplc="73E0B756">
      <w:start w:val="1"/>
      <w:numFmt w:val="bullet"/>
      <w:lvlText w:val=""/>
      <w:lvlJc w:val="left"/>
      <w:pPr>
        <w:ind w:left="2160" w:hanging="360"/>
      </w:pPr>
      <w:rPr>
        <w:rFonts w:ascii="Wingdings" w:hAnsi="Wingdings" w:hint="default"/>
      </w:rPr>
    </w:lvl>
    <w:lvl w:ilvl="3" w:tplc="03D67D78">
      <w:start w:val="1"/>
      <w:numFmt w:val="bullet"/>
      <w:lvlText w:val=""/>
      <w:lvlJc w:val="left"/>
      <w:pPr>
        <w:ind w:left="2880" w:hanging="360"/>
      </w:pPr>
      <w:rPr>
        <w:rFonts w:ascii="Symbol" w:hAnsi="Symbol" w:hint="default"/>
      </w:rPr>
    </w:lvl>
    <w:lvl w:ilvl="4" w:tplc="F0966912">
      <w:start w:val="1"/>
      <w:numFmt w:val="bullet"/>
      <w:lvlText w:val="o"/>
      <w:lvlJc w:val="left"/>
      <w:pPr>
        <w:ind w:left="3600" w:hanging="360"/>
      </w:pPr>
      <w:rPr>
        <w:rFonts w:ascii="Courier New" w:hAnsi="Courier New" w:cs="Times New Roman" w:hint="default"/>
      </w:rPr>
    </w:lvl>
    <w:lvl w:ilvl="5" w:tplc="40AA10AE">
      <w:start w:val="1"/>
      <w:numFmt w:val="bullet"/>
      <w:lvlText w:val=""/>
      <w:lvlJc w:val="left"/>
      <w:pPr>
        <w:ind w:left="4320" w:hanging="360"/>
      </w:pPr>
      <w:rPr>
        <w:rFonts w:ascii="Wingdings" w:hAnsi="Wingdings" w:hint="default"/>
      </w:rPr>
    </w:lvl>
    <w:lvl w:ilvl="6" w:tplc="5E488874">
      <w:start w:val="1"/>
      <w:numFmt w:val="bullet"/>
      <w:lvlText w:val=""/>
      <w:lvlJc w:val="left"/>
      <w:pPr>
        <w:ind w:left="5040" w:hanging="360"/>
      </w:pPr>
      <w:rPr>
        <w:rFonts w:ascii="Symbol" w:hAnsi="Symbol" w:hint="default"/>
      </w:rPr>
    </w:lvl>
    <w:lvl w:ilvl="7" w:tplc="2BC20BEC">
      <w:start w:val="1"/>
      <w:numFmt w:val="bullet"/>
      <w:lvlText w:val="o"/>
      <w:lvlJc w:val="left"/>
      <w:pPr>
        <w:ind w:left="5760" w:hanging="360"/>
      </w:pPr>
      <w:rPr>
        <w:rFonts w:ascii="Courier New" w:hAnsi="Courier New" w:cs="Times New Roman" w:hint="default"/>
      </w:rPr>
    </w:lvl>
    <w:lvl w:ilvl="8" w:tplc="DFA673E6">
      <w:start w:val="1"/>
      <w:numFmt w:val="bullet"/>
      <w:lvlText w:val=""/>
      <w:lvlJc w:val="left"/>
      <w:pPr>
        <w:ind w:left="6480" w:hanging="360"/>
      </w:pPr>
      <w:rPr>
        <w:rFonts w:ascii="Wingdings" w:hAnsi="Wingdings" w:hint="default"/>
      </w:rPr>
    </w:lvl>
  </w:abstractNum>
  <w:abstractNum w:abstractNumId="1" w15:restartNumberingAfterBreak="0">
    <w:nsid w:val="1A842FE4"/>
    <w:multiLevelType w:val="hybridMultilevel"/>
    <w:tmpl w:val="6784C39A"/>
    <w:lvl w:ilvl="0" w:tplc="A176BD22">
      <w:start w:val="1"/>
      <w:numFmt w:val="bullet"/>
      <w:lvlText w:val=""/>
      <w:lvlJc w:val="left"/>
      <w:pPr>
        <w:ind w:left="720" w:hanging="360"/>
      </w:pPr>
      <w:rPr>
        <w:rFonts w:ascii="Symbol" w:hAnsi="Symbol" w:hint="default"/>
      </w:rPr>
    </w:lvl>
    <w:lvl w:ilvl="1" w:tplc="3124C260">
      <w:start w:val="1"/>
      <w:numFmt w:val="bullet"/>
      <w:lvlText w:val="o"/>
      <w:lvlJc w:val="left"/>
      <w:pPr>
        <w:ind w:left="1440" w:hanging="360"/>
      </w:pPr>
      <w:rPr>
        <w:rFonts w:ascii="Courier New" w:hAnsi="Courier New" w:cs="Times New Roman" w:hint="default"/>
      </w:rPr>
    </w:lvl>
    <w:lvl w:ilvl="2" w:tplc="5C94FD36">
      <w:start w:val="1"/>
      <w:numFmt w:val="bullet"/>
      <w:lvlText w:val=""/>
      <w:lvlJc w:val="left"/>
      <w:pPr>
        <w:ind w:left="2160" w:hanging="360"/>
      </w:pPr>
      <w:rPr>
        <w:rFonts w:ascii="Wingdings" w:hAnsi="Wingdings" w:hint="default"/>
      </w:rPr>
    </w:lvl>
    <w:lvl w:ilvl="3" w:tplc="C5DAF5F2">
      <w:start w:val="1"/>
      <w:numFmt w:val="bullet"/>
      <w:lvlText w:val=""/>
      <w:lvlJc w:val="left"/>
      <w:pPr>
        <w:ind w:left="2880" w:hanging="360"/>
      </w:pPr>
      <w:rPr>
        <w:rFonts w:ascii="Symbol" w:hAnsi="Symbol" w:hint="default"/>
      </w:rPr>
    </w:lvl>
    <w:lvl w:ilvl="4" w:tplc="E006D02A">
      <w:start w:val="1"/>
      <w:numFmt w:val="bullet"/>
      <w:lvlText w:val="o"/>
      <w:lvlJc w:val="left"/>
      <w:pPr>
        <w:ind w:left="3600" w:hanging="360"/>
      </w:pPr>
      <w:rPr>
        <w:rFonts w:ascii="Courier New" w:hAnsi="Courier New" w:cs="Times New Roman" w:hint="default"/>
      </w:rPr>
    </w:lvl>
    <w:lvl w:ilvl="5" w:tplc="81343142">
      <w:start w:val="1"/>
      <w:numFmt w:val="bullet"/>
      <w:lvlText w:val=""/>
      <w:lvlJc w:val="left"/>
      <w:pPr>
        <w:ind w:left="4320" w:hanging="360"/>
      </w:pPr>
      <w:rPr>
        <w:rFonts w:ascii="Wingdings" w:hAnsi="Wingdings" w:hint="default"/>
      </w:rPr>
    </w:lvl>
    <w:lvl w:ilvl="6" w:tplc="2B6AE138">
      <w:start w:val="1"/>
      <w:numFmt w:val="bullet"/>
      <w:lvlText w:val=""/>
      <w:lvlJc w:val="left"/>
      <w:pPr>
        <w:ind w:left="5040" w:hanging="360"/>
      </w:pPr>
      <w:rPr>
        <w:rFonts w:ascii="Symbol" w:hAnsi="Symbol" w:hint="default"/>
      </w:rPr>
    </w:lvl>
    <w:lvl w:ilvl="7" w:tplc="D5B2903A">
      <w:start w:val="1"/>
      <w:numFmt w:val="bullet"/>
      <w:lvlText w:val="o"/>
      <w:lvlJc w:val="left"/>
      <w:pPr>
        <w:ind w:left="5760" w:hanging="360"/>
      </w:pPr>
      <w:rPr>
        <w:rFonts w:ascii="Courier New" w:hAnsi="Courier New" w:cs="Times New Roman" w:hint="default"/>
      </w:rPr>
    </w:lvl>
    <w:lvl w:ilvl="8" w:tplc="75363A38">
      <w:start w:val="1"/>
      <w:numFmt w:val="bullet"/>
      <w:lvlText w:val=""/>
      <w:lvlJc w:val="left"/>
      <w:pPr>
        <w:ind w:left="6480" w:hanging="360"/>
      </w:pPr>
      <w:rPr>
        <w:rFonts w:ascii="Wingdings" w:hAnsi="Wingdings" w:hint="default"/>
      </w:rPr>
    </w:lvl>
  </w:abstractNum>
  <w:abstractNum w:abstractNumId="2" w15:restartNumberingAfterBreak="0">
    <w:nsid w:val="1EE74DE6"/>
    <w:multiLevelType w:val="hybridMultilevel"/>
    <w:tmpl w:val="2F567FA0"/>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2C8E6E55"/>
    <w:multiLevelType w:val="hybridMultilevel"/>
    <w:tmpl w:val="8080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952445"/>
    <w:multiLevelType w:val="hybridMultilevel"/>
    <w:tmpl w:val="9272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FD471A"/>
    <w:multiLevelType w:val="hybridMultilevel"/>
    <w:tmpl w:val="09FE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1948482">
    <w:abstractNumId w:val="4"/>
  </w:num>
  <w:num w:numId="2" w16cid:durableId="1905944614">
    <w:abstractNumId w:val="0"/>
  </w:num>
  <w:num w:numId="3" w16cid:durableId="2108887315">
    <w:abstractNumId w:val="1"/>
  </w:num>
  <w:num w:numId="4" w16cid:durableId="1741555814">
    <w:abstractNumId w:val="5"/>
  </w:num>
  <w:num w:numId="5" w16cid:durableId="422382277">
    <w:abstractNumId w:val="3"/>
  </w:num>
  <w:num w:numId="6" w16cid:durableId="1264610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E2"/>
    <w:rsid w:val="000312BA"/>
    <w:rsid w:val="00055DF7"/>
    <w:rsid w:val="000738B2"/>
    <w:rsid w:val="000A2A8A"/>
    <w:rsid w:val="001D004A"/>
    <w:rsid w:val="002472C6"/>
    <w:rsid w:val="002476DD"/>
    <w:rsid w:val="0031217B"/>
    <w:rsid w:val="003944E2"/>
    <w:rsid w:val="00397447"/>
    <w:rsid w:val="003C090C"/>
    <w:rsid w:val="003E3596"/>
    <w:rsid w:val="003E63CC"/>
    <w:rsid w:val="004307E7"/>
    <w:rsid w:val="00490ED0"/>
    <w:rsid w:val="00541248"/>
    <w:rsid w:val="005447AF"/>
    <w:rsid w:val="005C0A0B"/>
    <w:rsid w:val="005F67F3"/>
    <w:rsid w:val="006F5DA8"/>
    <w:rsid w:val="0071195E"/>
    <w:rsid w:val="007671C1"/>
    <w:rsid w:val="007A0390"/>
    <w:rsid w:val="00816B87"/>
    <w:rsid w:val="00856FC9"/>
    <w:rsid w:val="00860D21"/>
    <w:rsid w:val="008F7475"/>
    <w:rsid w:val="0091055D"/>
    <w:rsid w:val="00A75392"/>
    <w:rsid w:val="00A830CC"/>
    <w:rsid w:val="00A970DC"/>
    <w:rsid w:val="00AA4EDD"/>
    <w:rsid w:val="00B1529E"/>
    <w:rsid w:val="00B271E4"/>
    <w:rsid w:val="00B40E0A"/>
    <w:rsid w:val="00BF6B5F"/>
    <w:rsid w:val="00C0410C"/>
    <w:rsid w:val="00C27007"/>
    <w:rsid w:val="00C319BF"/>
    <w:rsid w:val="00C7510E"/>
    <w:rsid w:val="00CA3F10"/>
    <w:rsid w:val="00CB2A32"/>
    <w:rsid w:val="00CB5799"/>
    <w:rsid w:val="00CC24B4"/>
    <w:rsid w:val="00CC786F"/>
    <w:rsid w:val="00D02925"/>
    <w:rsid w:val="00D42063"/>
    <w:rsid w:val="00DB2BF2"/>
    <w:rsid w:val="00DD656E"/>
    <w:rsid w:val="00DE51C5"/>
    <w:rsid w:val="00E76ECF"/>
    <w:rsid w:val="00EA697D"/>
    <w:rsid w:val="00F24CDC"/>
    <w:rsid w:val="00F37475"/>
    <w:rsid w:val="00F7362C"/>
    <w:rsid w:val="00FB4EFA"/>
    <w:rsid w:val="00FF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454"/>
  <w15:chartTrackingRefBased/>
  <w15:docId w15:val="{EF23A007-D6E8-4A7D-93BF-039F5DBF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E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4E2"/>
    <w:pPr>
      <w:spacing w:after="0" w:line="240" w:lineRule="auto"/>
    </w:pPr>
    <w:rPr>
      <w:kern w:val="0"/>
      <w14:ligatures w14:val="none"/>
    </w:rPr>
  </w:style>
  <w:style w:type="paragraph" w:styleId="ListParagraph">
    <w:name w:val="List Paragraph"/>
    <w:basedOn w:val="Normal"/>
    <w:uiPriority w:val="34"/>
    <w:qFormat/>
    <w:rsid w:val="003944E2"/>
    <w:pPr>
      <w:ind w:left="720"/>
      <w:contextualSpacing/>
    </w:pPr>
  </w:style>
  <w:style w:type="table" w:styleId="TableGrid">
    <w:name w:val="Table Grid"/>
    <w:basedOn w:val="TableNormal"/>
    <w:uiPriority w:val="39"/>
    <w:rsid w:val="003944E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217B"/>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656E"/>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4EDD"/>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2010">
      <w:bodyDiv w:val="1"/>
      <w:marLeft w:val="0"/>
      <w:marRight w:val="0"/>
      <w:marTop w:val="0"/>
      <w:marBottom w:val="0"/>
      <w:divBdr>
        <w:top w:val="none" w:sz="0" w:space="0" w:color="auto"/>
        <w:left w:val="none" w:sz="0" w:space="0" w:color="auto"/>
        <w:bottom w:val="none" w:sz="0" w:space="0" w:color="auto"/>
        <w:right w:val="none" w:sz="0" w:space="0" w:color="auto"/>
      </w:divBdr>
    </w:div>
    <w:div w:id="19468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Diamalyn (LEO)</dc:creator>
  <cp:keywords/>
  <dc:description/>
  <cp:lastModifiedBy>Tracy Brown</cp:lastModifiedBy>
  <cp:revision>2</cp:revision>
  <dcterms:created xsi:type="dcterms:W3CDTF">2023-09-11T13:59:00Z</dcterms:created>
  <dcterms:modified xsi:type="dcterms:W3CDTF">2023-09-11T13:59:00Z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2023-09-07T16:51:40Z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707158c5-fa0c-439c-968e-8626c5138b34</vt:lpwstr>
  </property>
  <property fmtid="{D5CDD505-2E9C-101B-9397-08002B2CF9AE}" pid="8" name="MSIP_Label_3a2fed65-62e7-46ea-af74-187e0c17143a_ContentBits">
    <vt:lpwstr>0</vt:lpwstr>
  </property>
</Properties>
</file>